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F85" w:rsidRDefault="009776B5" w:rsidP="009776B5">
      <w:pPr>
        <w:tabs>
          <w:tab w:val="left" w:pos="6970"/>
        </w:tabs>
        <w:spacing w:before="80"/>
        <w:ind w:left="3573"/>
        <w:rPr>
          <w:b/>
          <w:sz w:val="25"/>
        </w:rPr>
      </w:pPr>
      <w:r>
        <w:rPr>
          <w:b/>
          <w:spacing w:val="-4"/>
          <w:w w:val="110"/>
          <w:sz w:val="16"/>
        </w:rPr>
        <w:t>ICQS</w:t>
      </w:r>
      <w:r w:rsidR="0007506A">
        <w:rPr>
          <w:b/>
          <w:spacing w:val="-4"/>
          <w:w w:val="110"/>
          <w:sz w:val="16"/>
        </w:rPr>
        <w:t>GW</w:t>
      </w:r>
      <w:r w:rsidR="00BE19BC">
        <w:rPr>
          <w:b/>
          <w:spacing w:val="-4"/>
          <w:w w:val="110"/>
          <w:sz w:val="16"/>
        </w:rPr>
        <w:t>202</w:t>
      </w:r>
      <w:r w:rsidR="0007506A">
        <w:rPr>
          <w:b/>
          <w:spacing w:val="-4"/>
          <w:w w:val="110"/>
          <w:sz w:val="16"/>
        </w:rPr>
        <w:t>6</w:t>
      </w:r>
      <w:bookmarkStart w:id="0" w:name="_GoBack"/>
      <w:bookmarkEnd w:id="0"/>
      <w:r w:rsidR="00BE19BC">
        <w:rPr>
          <w:b/>
          <w:sz w:val="16"/>
        </w:rPr>
        <w:tab/>
      </w:r>
      <w:r w:rsidRPr="009776B5">
        <w:rPr>
          <w:b/>
          <w:w w:val="110"/>
          <w:sz w:val="16"/>
        </w:rPr>
        <w:t>1. Foundations &amp; Theory</w:t>
      </w:r>
    </w:p>
    <w:p w:rsidR="00546F85" w:rsidRDefault="00546F85">
      <w:pPr>
        <w:pStyle w:val="BodyText"/>
        <w:spacing w:before="93"/>
        <w:rPr>
          <w:b/>
          <w:sz w:val="25"/>
        </w:rPr>
      </w:pPr>
    </w:p>
    <w:p w:rsidR="00546F85" w:rsidRDefault="00367D7C" w:rsidP="00367D7C">
      <w:pPr>
        <w:pStyle w:val="BodyText"/>
        <w:spacing w:before="150"/>
        <w:jc w:val="center"/>
        <w:rPr>
          <w:b/>
          <w:sz w:val="25"/>
        </w:rPr>
      </w:pPr>
      <w:r w:rsidRPr="00367D7C">
        <w:rPr>
          <w:b/>
          <w:bCs/>
          <w:w w:val="110"/>
          <w:sz w:val="25"/>
          <w:szCs w:val="25"/>
        </w:rPr>
        <w:t>Hydrogen Fuel Cells: A Statistical Review of Applications, Socio-Economic Impacts, and Future Forecasting</w:t>
      </w:r>
    </w:p>
    <w:p w:rsidR="00546F85" w:rsidRDefault="00367D7C">
      <w:pPr>
        <w:jc w:val="center"/>
        <w:rPr>
          <w:sz w:val="11"/>
        </w:rPr>
      </w:pPr>
      <w:r w:rsidRPr="00367D7C">
        <w:rPr>
          <w:sz w:val="21"/>
        </w:rPr>
        <w:t>S</w:t>
      </w:r>
      <w:r>
        <w:rPr>
          <w:sz w:val="21"/>
        </w:rPr>
        <w:t>.</w:t>
      </w:r>
      <w:r w:rsidRPr="00367D7C">
        <w:rPr>
          <w:sz w:val="21"/>
        </w:rPr>
        <w:t xml:space="preserve"> </w:t>
      </w:r>
      <w:r>
        <w:rPr>
          <w:sz w:val="21"/>
        </w:rPr>
        <w:t>Verma</w:t>
      </w:r>
      <w:r>
        <w:rPr>
          <w:b/>
          <w:i/>
          <w:spacing w:val="-2"/>
          <w:sz w:val="18"/>
          <w:vertAlign w:val="superscript"/>
        </w:rPr>
        <w:t>1</w:t>
      </w:r>
      <w:r w:rsidRPr="00367D7C">
        <w:rPr>
          <w:sz w:val="21"/>
        </w:rPr>
        <w:t>, A</w:t>
      </w:r>
      <w:r>
        <w:rPr>
          <w:sz w:val="21"/>
        </w:rPr>
        <w:t>.</w:t>
      </w:r>
      <w:r w:rsidRPr="00367D7C">
        <w:rPr>
          <w:sz w:val="21"/>
        </w:rPr>
        <w:t xml:space="preserve"> Ba</w:t>
      </w:r>
      <w:r>
        <w:rPr>
          <w:sz w:val="21"/>
        </w:rPr>
        <w:t>nsal</w:t>
      </w:r>
      <w:r>
        <w:rPr>
          <w:b/>
          <w:i/>
          <w:spacing w:val="-2"/>
          <w:sz w:val="18"/>
          <w:vertAlign w:val="superscript"/>
        </w:rPr>
        <w:t>2</w:t>
      </w:r>
      <w:r w:rsidRPr="00367D7C">
        <w:rPr>
          <w:sz w:val="21"/>
        </w:rPr>
        <w:t>, S</w:t>
      </w:r>
      <w:r>
        <w:rPr>
          <w:sz w:val="21"/>
        </w:rPr>
        <w:t>.</w:t>
      </w:r>
      <w:r w:rsidRPr="00367D7C">
        <w:rPr>
          <w:sz w:val="21"/>
        </w:rPr>
        <w:t xml:space="preserve"> Kund</w:t>
      </w:r>
      <w:r>
        <w:rPr>
          <w:sz w:val="21"/>
        </w:rPr>
        <w:t>ra</w:t>
      </w:r>
      <w:r w:rsidRPr="00367D7C">
        <w:rPr>
          <w:sz w:val="21"/>
        </w:rPr>
        <w:t>r</w:t>
      </w:r>
      <w:r>
        <w:rPr>
          <w:b/>
          <w:i/>
          <w:spacing w:val="-2"/>
          <w:sz w:val="18"/>
          <w:vertAlign w:val="superscript"/>
        </w:rPr>
        <w:t>1</w:t>
      </w:r>
      <w:r w:rsidRPr="00367D7C">
        <w:rPr>
          <w:sz w:val="21"/>
        </w:rPr>
        <w:t>, T</w:t>
      </w:r>
      <w:r>
        <w:rPr>
          <w:sz w:val="21"/>
        </w:rPr>
        <w:t>.</w:t>
      </w:r>
      <w:r w:rsidRPr="00367D7C">
        <w:rPr>
          <w:sz w:val="21"/>
        </w:rPr>
        <w:t xml:space="preserve"> S</w:t>
      </w:r>
      <w:r>
        <w:rPr>
          <w:sz w:val="21"/>
        </w:rPr>
        <w:t>harma</w:t>
      </w:r>
      <w:r>
        <w:rPr>
          <w:b/>
          <w:i/>
          <w:spacing w:val="-2"/>
          <w:sz w:val="18"/>
          <w:vertAlign w:val="superscript"/>
        </w:rPr>
        <w:t>1</w:t>
      </w:r>
      <w:r>
        <w:rPr>
          <w:sz w:val="21"/>
        </w:rPr>
        <w:t xml:space="preserve"> and</w:t>
      </w:r>
      <w:r w:rsidRPr="00367D7C">
        <w:rPr>
          <w:sz w:val="21"/>
        </w:rPr>
        <w:t xml:space="preserve"> N</w:t>
      </w:r>
      <w:r>
        <w:rPr>
          <w:sz w:val="21"/>
        </w:rPr>
        <w:t>.</w:t>
      </w:r>
      <w:r w:rsidRPr="00367D7C">
        <w:rPr>
          <w:sz w:val="21"/>
        </w:rPr>
        <w:t xml:space="preserve"> </w:t>
      </w:r>
      <w:r>
        <w:rPr>
          <w:sz w:val="21"/>
        </w:rPr>
        <w:t>Pradh</w:t>
      </w:r>
      <w:r w:rsidRPr="00367D7C">
        <w:rPr>
          <w:sz w:val="21"/>
        </w:rPr>
        <w:t>an</w:t>
      </w:r>
      <w:r>
        <w:rPr>
          <w:b/>
          <w:i/>
          <w:spacing w:val="-2"/>
          <w:sz w:val="18"/>
          <w:vertAlign w:val="superscript"/>
        </w:rPr>
        <w:t>1</w:t>
      </w:r>
    </w:p>
    <w:p w:rsidR="00546F85" w:rsidRDefault="00546F85">
      <w:pPr>
        <w:pStyle w:val="BodyText"/>
        <w:spacing w:before="182"/>
        <w:rPr>
          <w:sz w:val="21"/>
        </w:rPr>
      </w:pPr>
    </w:p>
    <w:p w:rsidR="00546F85" w:rsidRDefault="00BE19BC">
      <w:pPr>
        <w:spacing w:before="1"/>
        <w:ind w:left="110"/>
        <w:rPr>
          <w:i/>
          <w:sz w:val="18"/>
        </w:rPr>
      </w:pPr>
      <w:r>
        <w:rPr>
          <w:b/>
          <w:i/>
          <w:spacing w:val="-2"/>
          <w:sz w:val="18"/>
          <w:vertAlign w:val="superscript"/>
        </w:rPr>
        <w:t>1</w:t>
      </w:r>
      <w:r w:rsidR="00367D7C">
        <w:rPr>
          <w:i/>
          <w:spacing w:val="-2"/>
          <w:sz w:val="18"/>
        </w:rPr>
        <w:t>Department and I</w:t>
      </w:r>
      <w:r>
        <w:rPr>
          <w:i/>
          <w:spacing w:val="-2"/>
          <w:sz w:val="18"/>
        </w:rPr>
        <w:t>nstitute</w:t>
      </w:r>
      <w:r w:rsidR="00367D7C">
        <w:rPr>
          <w:i/>
          <w:spacing w:val="-2"/>
          <w:sz w:val="18"/>
        </w:rPr>
        <w:t xml:space="preserve"> Name, Address, Place, PIN, Country</w:t>
      </w:r>
    </w:p>
    <w:p w:rsidR="00546F85" w:rsidRDefault="00BE19BC">
      <w:pPr>
        <w:spacing w:before="38" w:line="446" w:lineRule="auto"/>
        <w:ind w:left="110" w:right="1399"/>
        <w:rPr>
          <w:i/>
          <w:sz w:val="18"/>
        </w:rPr>
      </w:pPr>
      <w:r>
        <w:rPr>
          <w:b/>
          <w:i/>
          <w:sz w:val="18"/>
          <w:vertAlign w:val="superscript"/>
        </w:rPr>
        <w:t>2</w:t>
      </w:r>
      <w:r>
        <w:rPr>
          <w:i/>
          <w:sz w:val="18"/>
        </w:rPr>
        <w:t xml:space="preserve">UGC-DAE Consortium for Scientific Research, University Campus, </w:t>
      </w:r>
      <w:proofErr w:type="gramStart"/>
      <w:r>
        <w:rPr>
          <w:i/>
          <w:sz w:val="18"/>
        </w:rPr>
        <w:t>Khandwa</w:t>
      </w:r>
      <w:proofErr w:type="gramEnd"/>
      <w:r>
        <w:rPr>
          <w:i/>
          <w:sz w:val="18"/>
        </w:rPr>
        <w:t xml:space="preserve"> Road, Indore 452 001, India Email:</w:t>
      </w:r>
      <w:r w:rsidR="00C9381D">
        <w:rPr>
          <w:i/>
          <w:sz w:val="18"/>
        </w:rPr>
        <w:t xml:space="preserve"> abc@gmail.com</w:t>
      </w:r>
    </w:p>
    <w:p w:rsidR="00C9381D" w:rsidRDefault="00C9381D" w:rsidP="00C9381D">
      <w:pPr>
        <w:pStyle w:val="BodyText"/>
        <w:spacing w:before="202" w:line="273" w:lineRule="auto"/>
        <w:ind w:left="110" w:right="100"/>
        <w:jc w:val="both"/>
      </w:pPr>
      <w:r>
        <w:t>Hydrogen fuel cells (HFCs), which have made substantial technological strides in recent years, hold promise as alternative energy sources with high electrical efficiency and zero emissions. Currently employed across various energy sectors, HFCs are increasingly recognized for their structural and operational advantages, showing greater efficiency, durability, and adaptability with each passing year. However, there remains a need for an in-depth study of their evolving configurations, potential socio-economic impacts, and production and cost trends to fully envision the future role of HFCs.</w:t>
      </w:r>
    </w:p>
    <w:p w:rsidR="00546F85" w:rsidRDefault="00C9381D" w:rsidP="00C9381D">
      <w:pPr>
        <w:pStyle w:val="BodyText"/>
        <w:spacing w:before="202" w:line="273" w:lineRule="auto"/>
        <w:ind w:left="110" w:right="100"/>
        <w:jc w:val="both"/>
      </w:pPr>
      <w:r>
        <w:t>This work aims to provide a comprehensive outlook on the future utilization and forecast of HFCs. First, it presents an analysis of upcoming HFC configurations based on fuel types, alongside the evolving landscape of hydrogen production. Next, it explores potential future applications of HFCs in key sectors, including stationary, portable, transportation, and space applications. Following this, anticipated socio-economic impacts—such as job creation, environmental benefits, and health improvements—are examined in the context of future developments. The study further clarifies implementation trends across industries like transportation, heating, industrial heat, industrial feedstock, and power generation, aligned with a vision for 2050. Finally, production and cost forecasts are presented to map out the economic feasibility of advancing HFC technologies into the future.</w:t>
      </w:r>
    </w:p>
    <w:p w:rsidR="00546F85" w:rsidRDefault="00C9381D">
      <w:pPr>
        <w:pStyle w:val="BodyText"/>
        <w:spacing w:before="142"/>
        <w:rPr>
          <w:sz w:val="20"/>
        </w:rPr>
      </w:pPr>
      <w:r>
        <w:rPr>
          <w:noProof/>
          <w:lang w:val="en-IN" w:eastAsia="en-IN"/>
        </w:rPr>
        <w:drawing>
          <wp:anchor distT="0" distB="0" distL="114300" distR="114300" simplePos="0" relativeHeight="487589888" behindDoc="1" locked="0" layoutInCell="1" allowOverlap="1">
            <wp:simplePos x="0" y="0"/>
            <wp:positionH relativeFrom="column">
              <wp:posOffset>781603</wp:posOffset>
            </wp:positionH>
            <wp:positionV relativeFrom="paragraph">
              <wp:posOffset>89783</wp:posOffset>
            </wp:positionV>
            <wp:extent cx="4793090" cy="3474720"/>
            <wp:effectExtent l="19050" t="0" r="7510" b="0"/>
            <wp:wrapNone/>
            <wp:docPr id="1" name="ember30" descr="https://media.licdn.com/dms/image/v2/D4D12AQGnbND7eVYEHA/article-cover_image-shrink_423_752/article-cover_image-shrink_423_752/0/1694615387170?e=1736985600&amp;v=beta&amp;t=OcJlUyldt2l9dHRLo9nIa0x2JbSdy1lhAtq9nhLMh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30" descr="https://media.licdn.com/dms/image/v2/D4D12AQGnbND7eVYEHA/article-cover_image-shrink_423_752/article-cover_image-shrink_423_752/0/1694615387170?e=1736985600&amp;v=beta&amp;t=OcJlUyldt2l9dHRLo9nIa0x2JbSdy1lhAtq9nhLMh1E"/>
                    <pic:cNvPicPr>
                      <a:picLocks noChangeAspect="1" noChangeArrowheads="1"/>
                    </pic:cNvPicPr>
                  </pic:nvPicPr>
                  <pic:blipFill>
                    <a:blip r:embed="rId5"/>
                    <a:srcRect/>
                    <a:stretch>
                      <a:fillRect/>
                    </a:stretch>
                  </pic:blipFill>
                  <pic:spPr bwMode="auto">
                    <a:xfrm>
                      <a:off x="0" y="0"/>
                      <a:ext cx="4793090" cy="3474720"/>
                    </a:xfrm>
                    <a:prstGeom prst="rect">
                      <a:avLst/>
                    </a:prstGeom>
                    <a:noFill/>
                    <a:ln w="9525">
                      <a:noFill/>
                      <a:miter lim="800000"/>
                      <a:headEnd/>
                      <a:tailEnd/>
                    </a:ln>
                  </pic:spPr>
                </pic:pic>
              </a:graphicData>
            </a:graphic>
          </wp:anchor>
        </w:drawing>
      </w:r>
    </w:p>
    <w:p w:rsidR="00546F85" w:rsidRDefault="00546F85">
      <w:pPr>
        <w:pStyle w:val="BodyText"/>
        <w:spacing w:before="41"/>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C9381D" w:rsidRDefault="00C9381D">
      <w:pPr>
        <w:jc w:val="center"/>
        <w:rPr>
          <w:i/>
          <w:sz w:val="18"/>
        </w:rPr>
      </w:pPr>
    </w:p>
    <w:p w:rsidR="00546F85" w:rsidRDefault="00BE19BC">
      <w:pPr>
        <w:jc w:val="center"/>
        <w:rPr>
          <w:i/>
          <w:sz w:val="18"/>
        </w:rPr>
      </w:pPr>
      <w:r>
        <w:rPr>
          <w:i/>
          <w:sz w:val="18"/>
        </w:rPr>
        <w:t>Fig.:</w:t>
      </w:r>
      <w:r w:rsidR="00C9381D">
        <w:rPr>
          <w:i/>
          <w:sz w:val="18"/>
        </w:rPr>
        <w:t xml:space="preserve"> </w:t>
      </w:r>
      <w:r>
        <w:rPr>
          <w:i/>
          <w:sz w:val="18"/>
        </w:rPr>
        <w:t>A</w:t>
      </w:r>
      <w:r w:rsidR="00C9381D">
        <w:rPr>
          <w:i/>
          <w:sz w:val="18"/>
        </w:rPr>
        <w:t xml:space="preserve"> brief </w:t>
      </w:r>
      <w:r>
        <w:rPr>
          <w:i/>
          <w:sz w:val="18"/>
        </w:rPr>
        <w:t>description</w:t>
      </w:r>
      <w:r w:rsidR="00C9381D">
        <w:rPr>
          <w:i/>
          <w:sz w:val="18"/>
        </w:rPr>
        <w:t xml:space="preserve"> </w:t>
      </w:r>
      <w:r>
        <w:rPr>
          <w:i/>
          <w:sz w:val="18"/>
        </w:rPr>
        <w:t>of</w:t>
      </w:r>
      <w:r w:rsidR="00C9381D">
        <w:rPr>
          <w:i/>
          <w:sz w:val="18"/>
        </w:rPr>
        <w:t xml:space="preserve"> the above</w:t>
      </w:r>
      <w:r>
        <w:rPr>
          <w:i/>
          <w:spacing w:val="-2"/>
          <w:sz w:val="18"/>
        </w:rPr>
        <w:t>.</w:t>
      </w:r>
    </w:p>
    <w:p w:rsidR="00546F85" w:rsidRDefault="00546F85">
      <w:pPr>
        <w:pStyle w:val="BodyText"/>
        <w:spacing w:before="69"/>
        <w:rPr>
          <w:i/>
          <w:sz w:val="22"/>
        </w:rPr>
      </w:pPr>
    </w:p>
    <w:p w:rsidR="00546F85" w:rsidRDefault="00BE19BC">
      <w:pPr>
        <w:spacing w:before="1"/>
        <w:ind w:left="110"/>
        <w:rPr>
          <w:b/>
        </w:rPr>
      </w:pPr>
      <w:r>
        <w:rPr>
          <w:b/>
          <w:spacing w:val="-2"/>
          <w:w w:val="105"/>
        </w:rPr>
        <w:t>References:</w:t>
      </w:r>
    </w:p>
    <w:p w:rsidR="00C9381D" w:rsidRPr="00DF1699" w:rsidRDefault="00C9381D" w:rsidP="00C9381D">
      <w:pPr>
        <w:pStyle w:val="ListParagraph"/>
        <w:numPr>
          <w:ilvl w:val="0"/>
          <w:numId w:val="2"/>
        </w:numPr>
        <w:tabs>
          <w:tab w:val="left" w:pos="341"/>
        </w:tabs>
        <w:spacing w:before="60" w:line="274" w:lineRule="auto"/>
        <w:ind w:left="835" w:right="763"/>
        <w:rPr>
          <w:sz w:val="16"/>
        </w:rPr>
      </w:pPr>
      <w:r w:rsidRPr="00DF1699">
        <w:rPr>
          <w:sz w:val="16"/>
        </w:rPr>
        <w:t xml:space="preserve">Verne, J.; Wyeth, N.C. The Mysterious Island; C. Scribner’s Sons: New York, NY, USA, 1920. </w:t>
      </w:r>
    </w:p>
    <w:p w:rsidR="00C9381D" w:rsidRPr="00DF1699" w:rsidRDefault="00C9381D" w:rsidP="00C9381D">
      <w:pPr>
        <w:pStyle w:val="ListParagraph"/>
        <w:numPr>
          <w:ilvl w:val="0"/>
          <w:numId w:val="2"/>
        </w:numPr>
        <w:tabs>
          <w:tab w:val="left" w:pos="341"/>
        </w:tabs>
        <w:spacing w:before="60" w:line="274" w:lineRule="auto"/>
        <w:ind w:left="835" w:right="763"/>
        <w:rPr>
          <w:sz w:val="16"/>
        </w:rPr>
      </w:pPr>
      <w:r w:rsidRPr="00DF1699">
        <w:rPr>
          <w:sz w:val="16"/>
        </w:rPr>
        <w:t xml:space="preserve">Dunn, S. Hydrogen futures: Toward a sustainable energy system. Int. J. </w:t>
      </w:r>
      <w:proofErr w:type="spellStart"/>
      <w:r w:rsidRPr="00DF1699">
        <w:rPr>
          <w:sz w:val="16"/>
        </w:rPr>
        <w:t>Hydrog</w:t>
      </w:r>
      <w:proofErr w:type="spellEnd"/>
      <w:r w:rsidRPr="00DF1699">
        <w:rPr>
          <w:sz w:val="16"/>
        </w:rPr>
        <w:t xml:space="preserve">. Energy 2002, 27, 235–264. </w:t>
      </w:r>
    </w:p>
    <w:p w:rsidR="00C9381D" w:rsidRPr="00DF1699" w:rsidRDefault="00C9381D" w:rsidP="00C9381D">
      <w:pPr>
        <w:pStyle w:val="ListParagraph"/>
        <w:numPr>
          <w:ilvl w:val="0"/>
          <w:numId w:val="2"/>
        </w:numPr>
        <w:tabs>
          <w:tab w:val="left" w:pos="341"/>
        </w:tabs>
        <w:spacing w:before="60" w:line="274" w:lineRule="auto"/>
        <w:ind w:left="835" w:right="763"/>
        <w:rPr>
          <w:sz w:val="16"/>
        </w:rPr>
      </w:pPr>
      <w:r w:rsidRPr="00DF1699">
        <w:rPr>
          <w:sz w:val="16"/>
        </w:rPr>
        <w:t xml:space="preserve">K&amp;L Gates. The H2 Handbook: Legal, Regulatory, Policy, and Commercial Issues Impacting the Future of Hydrogen; K&amp;L Gates: Pittsburgh, PA, USA, 2020. </w:t>
      </w:r>
    </w:p>
    <w:p w:rsidR="00C9381D" w:rsidRPr="00DF1699" w:rsidRDefault="00C9381D" w:rsidP="00C9381D">
      <w:pPr>
        <w:pStyle w:val="ListParagraph"/>
        <w:numPr>
          <w:ilvl w:val="0"/>
          <w:numId w:val="2"/>
        </w:numPr>
        <w:tabs>
          <w:tab w:val="left" w:pos="341"/>
        </w:tabs>
        <w:spacing w:before="60" w:line="274" w:lineRule="auto"/>
        <w:ind w:left="835" w:right="763"/>
        <w:rPr>
          <w:sz w:val="16"/>
        </w:rPr>
      </w:pPr>
      <w:r w:rsidRPr="00DF1699">
        <w:rPr>
          <w:sz w:val="16"/>
        </w:rPr>
        <w:t xml:space="preserve">IEA. The Future of Hydrogen; IEA: Paris, France, 2019. </w:t>
      </w:r>
    </w:p>
    <w:p w:rsidR="00546F85" w:rsidRPr="00DF1699" w:rsidRDefault="00C9381D" w:rsidP="00C9381D">
      <w:pPr>
        <w:pStyle w:val="ListParagraph"/>
        <w:numPr>
          <w:ilvl w:val="0"/>
          <w:numId w:val="2"/>
        </w:numPr>
        <w:tabs>
          <w:tab w:val="left" w:pos="341"/>
        </w:tabs>
        <w:spacing w:before="60" w:line="274" w:lineRule="auto"/>
        <w:ind w:left="835" w:right="763"/>
      </w:pPr>
      <w:proofErr w:type="spellStart"/>
      <w:r w:rsidRPr="00DF1699">
        <w:rPr>
          <w:sz w:val="16"/>
        </w:rPr>
        <w:t>Bockris</w:t>
      </w:r>
      <w:proofErr w:type="spellEnd"/>
      <w:r w:rsidRPr="00DF1699">
        <w:rPr>
          <w:sz w:val="16"/>
        </w:rPr>
        <w:t>, J.O.M. A hydrogen economy. Science (80</w:t>
      </w:r>
      <w:proofErr w:type="gramStart"/>
      <w:r w:rsidRPr="00DF1699">
        <w:rPr>
          <w:sz w:val="16"/>
        </w:rPr>
        <w:t>-)</w:t>
      </w:r>
      <w:proofErr w:type="gramEnd"/>
      <w:r w:rsidRPr="00DF1699">
        <w:rPr>
          <w:sz w:val="16"/>
        </w:rPr>
        <w:t xml:space="preserve"> 1972, 176, 1323. </w:t>
      </w:r>
    </w:p>
    <w:p w:rsidR="00C9381D" w:rsidRPr="00C9381D" w:rsidRDefault="00C9381D" w:rsidP="00C9381D">
      <w:pPr>
        <w:pStyle w:val="ListParagraph"/>
        <w:tabs>
          <w:tab w:val="left" w:pos="341"/>
        </w:tabs>
        <w:spacing w:line="273" w:lineRule="auto"/>
        <w:ind w:left="830" w:right="764"/>
        <w:rPr>
          <w:sz w:val="20"/>
        </w:rPr>
      </w:pPr>
    </w:p>
    <w:p w:rsidR="00546F85" w:rsidRDefault="0007506A">
      <w:pPr>
        <w:pStyle w:val="BodyText"/>
        <w:spacing w:before="7"/>
        <w:rPr>
          <w:sz w:val="20"/>
        </w:rPr>
      </w:pPr>
      <w:r>
        <w:pict>
          <v:shape id="docshape3" o:spid="_x0000_s1026" style="position:absolute;margin-left:42.5pt;margin-top:13.2pt;width:510.25pt;height:.1pt;z-index:-15727616;mso-wrap-distance-left:0;mso-wrap-distance-right:0;mso-position-horizontal-relative:page" coordorigin="850,264" coordsize="10205,0" path="m11055,264l850,264e" filled="f">
            <v:path arrowok="t"/>
            <w10:wrap type="topAndBottom" anchorx="page"/>
          </v:shape>
        </w:pict>
      </w:r>
    </w:p>
    <w:p w:rsidR="00546F85" w:rsidRDefault="0007506A">
      <w:pPr>
        <w:spacing w:before="15"/>
        <w:ind w:right="108"/>
        <w:jc w:val="right"/>
      </w:pPr>
      <w:r>
        <w:pict>
          <v:shapetype id="_x0000_t202" coordsize="21600,21600" o:spt="202" path="m,l,21600r21600,l21600,xe">
            <v:stroke joinstyle="miter"/>
            <v:path gradientshapeok="t" o:connecttype="rect"/>
          </v:shapetype>
          <v:shape id="docshape2" o:spid="_x0000_s1027" type="#_x0000_t202" style="position:absolute;left:0;text-align:left;margin-left:36.85pt;margin-top:13.25pt;width:385.25pt;height:13.8pt;z-index:15730176;mso-position-horizontal-relative:page" filled="f" stroked="f">
            <v:textbox style="mso-next-textbox:#docshape2" inset="0,0,0,0">
              <w:txbxContent>
                <w:p w:rsidR="00546F85" w:rsidRPr="00C9381D" w:rsidRDefault="00BE19BC">
                  <w:pPr>
                    <w:spacing w:before="6"/>
                    <w:ind w:left="-1"/>
                    <w:rPr>
                      <w:rFonts w:ascii="Arial MT"/>
                      <w:color w:val="FF0000"/>
                      <w:sz w:val="20"/>
                    </w:rPr>
                  </w:pPr>
                  <w:r w:rsidRPr="00C9381D">
                    <w:rPr>
                      <w:rFonts w:ascii="Arial MT"/>
                      <w:color w:val="FF0000"/>
                      <w:sz w:val="20"/>
                    </w:rPr>
                    <w:t xml:space="preserve">Note: </w:t>
                  </w:r>
                  <w:r w:rsidR="00C9381D" w:rsidRPr="00C9381D">
                    <w:rPr>
                      <w:rFonts w:ascii="Arial MT"/>
                      <w:color w:val="FF0000"/>
                      <w:sz w:val="20"/>
                    </w:rPr>
                    <w:t>M</w:t>
                  </w:r>
                  <w:r w:rsidRPr="00C9381D">
                    <w:rPr>
                      <w:rFonts w:ascii="Arial MT"/>
                      <w:color w:val="FF0000"/>
                      <w:sz w:val="20"/>
                    </w:rPr>
                    <w:t xml:space="preserve">ake sure </w:t>
                  </w:r>
                  <w:r w:rsidR="00C9381D" w:rsidRPr="00C9381D">
                    <w:rPr>
                      <w:rFonts w:ascii="Arial MT"/>
                      <w:color w:val="FF0000"/>
                      <w:sz w:val="20"/>
                    </w:rPr>
                    <w:t>to adhere to</w:t>
                  </w:r>
                  <w:r w:rsidRPr="00C9381D">
                    <w:rPr>
                      <w:rFonts w:ascii="Arial MT"/>
                      <w:color w:val="FF0000"/>
                      <w:sz w:val="20"/>
                    </w:rPr>
                    <w:t xml:space="preserve"> 1 page </w:t>
                  </w:r>
                  <w:r w:rsidRPr="00C9381D">
                    <w:rPr>
                      <w:rFonts w:ascii="Arial MT"/>
                      <w:color w:val="FF0000"/>
                      <w:spacing w:val="-2"/>
                      <w:sz w:val="20"/>
                    </w:rPr>
                    <w:t>limit!</w:t>
                  </w:r>
                </w:p>
              </w:txbxContent>
            </v:textbox>
            <w10:wrap anchorx="page"/>
          </v:shape>
        </w:pict>
      </w:r>
    </w:p>
    <w:sectPr w:rsidR="00546F85" w:rsidSect="00546F85">
      <w:type w:val="continuous"/>
      <w:pgSz w:w="11910" w:h="16840"/>
      <w:pgMar w:top="48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94B68"/>
    <w:multiLevelType w:val="hybridMultilevel"/>
    <w:tmpl w:val="293AFD06"/>
    <w:lvl w:ilvl="0" w:tplc="68644F8C">
      <w:start w:val="1"/>
      <w:numFmt w:val="decimal"/>
      <w:lvlText w:val="[%1]"/>
      <w:lvlJc w:val="left"/>
      <w:pPr>
        <w:ind w:left="110" w:hanging="235"/>
      </w:pPr>
      <w:rPr>
        <w:rFonts w:ascii="Trebuchet MS" w:eastAsia="Trebuchet MS" w:hAnsi="Trebuchet MS" w:cs="Trebuchet MS" w:hint="default"/>
        <w:b w:val="0"/>
        <w:bCs w:val="0"/>
        <w:i w:val="0"/>
        <w:iCs w:val="0"/>
        <w:spacing w:val="-1"/>
        <w:w w:val="101"/>
        <w:sz w:val="15"/>
        <w:szCs w:val="15"/>
        <w:lang w:val="en-US" w:eastAsia="en-US" w:bidi="ar-SA"/>
      </w:rPr>
    </w:lvl>
    <w:lvl w:ilvl="1" w:tplc="41B06F4A">
      <w:numFmt w:val="bullet"/>
      <w:lvlText w:val="•"/>
      <w:lvlJc w:val="left"/>
      <w:pPr>
        <w:ind w:left="1150" w:hanging="235"/>
      </w:pPr>
      <w:rPr>
        <w:rFonts w:hint="default"/>
        <w:lang w:val="en-US" w:eastAsia="en-US" w:bidi="ar-SA"/>
      </w:rPr>
    </w:lvl>
    <w:lvl w:ilvl="2" w:tplc="F5A4425C">
      <w:numFmt w:val="bullet"/>
      <w:lvlText w:val="•"/>
      <w:lvlJc w:val="left"/>
      <w:pPr>
        <w:ind w:left="2181" w:hanging="235"/>
      </w:pPr>
      <w:rPr>
        <w:rFonts w:hint="default"/>
        <w:lang w:val="en-US" w:eastAsia="en-US" w:bidi="ar-SA"/>
      </w:rPr>
    </w:lvl>
    <w:lvl w:ilvl="3" w:tplc="1E923740">
      <w:numFmt w:val="bullet"/>
      <w:lvlText w:val="•"/>
      <w:lvlJc w:val="left"/>
      <w:pPr>
        <w:ind w:left="3211" w:hanging="235"/>
      </w:pPr>
      <w:rPr>
        <w:rFonts w:hint="default"/>
        <w:lang w:val="en-US" w:eastAsia="en-US" w:bidi="ar-SA"/>
      </w:rPr>
    </w:lvl>
    <w:lvl w:ilvl="4" w:tplc="F920D1D2">
      <w:numFmt w:val="bullet"/>
      <w:lvlText w:val="•"/>
      <w:lvlJc w:val="left"/>
      <w:pPr>
        <w:ind w:left="4242" w:hanging="235"/>
      </w:pPr>
      <w:rPr>
        <w:rFonts w:hint="default"/>
        <w:lang w:val="en-US" w:eastAsia="en-US" w:bidi="ar-SA"/>
      </w:rPr>
    </w:lvl>
    <w:lvl w:ilvl="5" w:tplc="E2569608">
      <w:numFmt w:val="bullet"/>
      <w:lvlText w:val="•"/>
      <w:lvlJc w:val="left"/>
      <w:pPr>
        <w:ind w:left="5272" w:hanging="235"/>
      </w:pPr>
      <w:rPr>
        <w:rFonts w:hint="default"/>
        <w:lang w:val="en-US" w:eastAsia="en-US" w:bidi="ar-SA"/>
      </w:rPr>
    </w:lvl>
    <w:lvl w:ilvl="6" w:tplc="3DA440AE">
      <w:numFmt w:val="bullet"/>
      <w:lvlText w:val="•"/>
      <w:lvlJc w:val="left"/>
      <w:pPr>
        <w:ind w:left="6303" w:hanging="235"/>
      </w:pPr>
      <w:rPr>
        <w:rFonts w:hint="default"/>
        <w:lang w:val="en-US" w:eastAsia="en-US" w:bidi="ar-SA"/>
      </w:rPr>
    </w:lvl>
    <w:lvl w:ilvl="7" w:tplc="A006A6E2">
      <w:numFmt w:val="bullet"/>
      <w:lvlText w:val="•"/>
      <w:lvlJc w:val="left"/>
      <w:pPr>
        <w:ind w:left="7333" w:hanging="235"/>
      </w:pPr>
      <w:rPr>
        <w:rFonts w:hint="default"/>
        <w:lang w:val="en-US" w:eastAsia="en-US" w:bidi="ar-SA"/>
      </w:rPr>
    </w:lvl>
    <w:lvl w:ilvl="8" w:tplc="D4FEA664">
      <w:numFmt w:val="bullet"/>
      <w:lvlText w:val="•"/>
      <w:lvlJc w:val="left"/>
      <w:pPr>
        <w:ind w:left="8364" w:hanging="235"/>
      </w:pPr>
      <w:rPr>
        <w:rFonts w:hint="default"/>
        <w:lang w:val="en-US" w:eastAsia="en-US" w:bidi="ar-SA"/>
      </w:rPr>
    </w:lvl>
  </w:abstractNum>
  <w:abstractNum w:abstractNumId="1" w15:restartNumberingAfterBreak="0">
    <w:nsid w:val="3C7D4554"/>
    <w:multiLevelType w:val="hybridMultilevel"/>
    <w:tmpl w:val="931ADC1C"/>
    <w:lvl w:ilvl="0" w:tplc="59ACB454">
      <w:start w:val="1"/>
      <w:numFmt w:val="decimal"/>
      <w:lvlText w:val="%1."/>
      <w:lvlJc w:val="left"/>
      <w:pPr>
        <w:ind w:left="830" w:hanging="360"/>
      </w:pPr>
      <w:rPr>
        <w:rFonts w:hint="default"/>
        <w:sz w:val="16"/>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546F85"/>
    <w:rsid w:val="0007506A"/>
    <w:rsid w:val="00367D7C"/>
    <w:rsid w:val="00546F85"/>
    <w:rsid w:val="006E15C5"/>
    <w:rsid w:val="009776B5"/>
    <w:rsid w:val="0098248C"/>
    <w:rsid w:val="009F0D53"/>
    <w:rsid w:val="00BE19BC"/>
    <w:rsid w:val="00C9381D"/>
    <w:rsid w:val="00CB03FD"/>
    <w:rsid w:val="00DF1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C09B3D73-6155-4C02-B820-D8A38512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46F85"/>
    <w:rPr>
      <w:rFonts w:ascii="Trebuchet MS" w:eastAsia="Trebuchet MS" w:hAnsi="Trebuchet MS" w:cs="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46F85"/>
    <w:rPr>
      <w:sz w:val="18"/>
      <w:szCs w:val="18"/>
    </w:rPr>
  </w:style>
  <w:style w:type="paragraph" w:styleId="Title">
    <w:name w:val="Title"/>
    <w:basedOn w:val="Normal"/>
    <w:uiPriority w:val="1"/>
    <w:qFormat/>
    <w:rsid w:val="00546F85"/>
    <w:pPr>
      <w:ind w:left="1546" w:right="174" w:hanging="1369"/>
    </w:pPr>
    <w:rPr>
      <w:b/>
      <w:bCs/>
      <w:sz w:val="25"/>
      <w:szCs w:val="25"/>
    </w:rPr>
  </w:style>
  <w:style w:type="paragraph" w:styleId="ListParagraph">
    <w:name w:val="List Paragraph"/>
    <w:basedOn w:val="Normal"/>
    <w:uiPriority w:val="1"/>
    <w:qFormat/>
    <w:rsid w:val="00546F85"/>
    <w:pPr>
      <w:spacing w:before="1"/>
      <w:ind w:left="110"/>
    </w:pPr>
  </w:style>
  <w:style w:type="paragraph" w:customStyle="1" w:styleId="TableParagraph">
    <w:name w:val="Table Paragraph"/>
    <w:basedOn w:val="Normal"/>
    <w:uiPriority w:val="1"/>
    <w:qFormat/>
    <w:rsid w:val="00546F85"/>
  </w:style>
  <w:style w:type="paragraph" w:styleId="BalloonText">
    <w:name w:val="Balloon Text"/>
    <w:basedOn w:val="Normal"/>
    <w:link w:val="BalloonTextChar"/>
    <w:uiPriority w:val="99"/>
    <w:semiHidden/>
    <w:unhideWhenUsed/>
    <w:rsid w:val="00C9381D"/>
    <w:rPr>
      <w:rFonts w:ascii="Tahoma" w:hAnsi="Tahoma" w:cs="Tahoma"/>
      <w:sz w:val="16"/>
      <w:szCs w:val="16"/>
    </w:rPr>
  </w:style>
  <w:style w:type="character" w:customStyle="1" w:styleId="BalloonTextChar">
    <w:name w:val="Balloon Text Char"/>
    <w:basedOn w:val="DefaultParagraphFont"/>
    <w:link w:val="BalloonText"/>
    <w:uiPriority w:val="99"/>
    <w:semiHidden/>
    <w:rsid w:val="00C9381D"/>
    <w:rPr>
      <w:rFonts w:ascii="Tahoma" w:eastAsia="Trebuchet M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289809">
      <w:bodyDiv w:val="1"/>
      <w:marLeft w:val="0"/>
      <w:marRight w:val="0"/>
      <w:marTop w:val="0"/>
      <w:marBottom w:val="0"/>
      <w:divBdr>
        <w:top w:val="none" w:sz="0" w:space="0" w:color="auto"/>
        <w:left w:val="none" w:sz="0" w:space="0" w:color="auto"/>
        <w:bottom w:val="none" w:sz="0" w:space="0" w:color="auto"/>
        <w:right w:val="none" w:sz="0" w:space="0" w:color="auto"/>
      </w:divBdr>
    </w:div>
    <w:div w:id="1796169958">
      <w:bodyDiv w:val="1"/>
      <w:marLeft w:val="0"/>
      <w:marRight w:val="0"/>
      <w:marTop w:val="0"/>
      <w:marBottom w:val="0"/>
      <w:divBdr>
        <w:top w:val="none" w:sz="0" w:space="0" w:color="auto"/>
        <w:left w:val="none" w:sz="0" w:space="0" w:color="auto"/>
        <w:bottom w:val="none" w:sz="0" w:space="0" w:color="auto"/>
        <w:right w:val="none" w:sz="0" w:space="0" w:color="auto"/>
      </w:divBdr>
    </w:div>
    <w:div w:id="2077167735">
      <w:bodyDiv w:val="1"/>
      <w:marLeft w:val="0"/>
      <w:marRight w:val="0"/>
      <w:marTop w:val="0"/>
      <w:marBottom w:val="0"/>
      <w:divBdr>
        <w:top w:val="none" w:sz="0" w:space="0" w:color="auto"/>
        <w:left w:val="none" w:sz="0" w:space="0" w:color="auto"/>
        <w:bottom w:val="none" w:sz="0" w:space="0" w:color="auto"/>
        <w:right w:val="none" w:sz="0" w:space="0" w:color="auto"/>
      </w:divBdr>
    </w:div>
    <w:div w:id="2144811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Abstract</vt:lpstr>
    </vt:vector>
  </TitlesOfParts>
  <Company/>
  <LinksUpToDate>false</LinksUpToDate>
  <CharactersWithSpaces>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c:title>
  <dc:creator>Dell</dc:creator>
  <cp:lastModifiedBy>Microsoft account</cp:lastModifiedBy>
  <cp:revision>3</cp:revision>
  <dcterms:created xsi:type="dcterms:W3CDTF">2025-06-03T07:16:00Z</dcterms:created>
  <dcterms:modified xsi:type="dcterms:W3CDTF">2026-06-11T08:47:00Z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LastSaved">
    <vt:filetime>2024-11-14T00:00:00Z</vt:filetime>
  </property>
  <property fmtid="{D5CDD505-2E9C-101B-9397-08002B2CF9AE}" pid="4" name="Producer">
    <vt:lpwstr>mPDF 8.2.3</vt:lpwstr>
  </property>
</Properties>
</file>